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62" w:rsidRPr="00DB75ED" w:rsidRDefault="003D6162" w:rsidP="003D6162">
      <w:pPr>
        <w:pStyle w:val="Heading1"/>
        <w:keepNext/>
        <w:keepLines/>
        <w:spacing w:before="480"/>
        <w:rPr>
          <w:rFonts w:asciiTheme="minorHAnsi" w:hAnsiTheme="minorHAnsi" w:cs="Times New Roman"/>
          <w:color w:val="auto"/>
          <w:sz w:val="48"/>
          <w:szCs w:val="48"/>
        </w:rPr>
      </w:pPr>
      <w:bookmarkStart w:id="0" w:name="_Toc435193477"/>
      <w:r w:rsidRPr="00DB75ED">
        <w:rPr>
          <w:rFonts w:asciiTheme="minorHAnsi" w:hAnsiTheme="minorHAnsi" w:cs="Times New Roman"/>
          <w:color w:val="auto"/>
          <w:sz w:val="48"/>
          <w:szCs w:val="48"/>
        </w:rPr>
        <w:t>Title VI Notice to the Public</w:t>
      </w:r>
      <w:bookmarkEnd w:id="0"/>
    </w:p>
    <w:p w:rsidR="003D6162" w:rsidRPr="00DB75ED" w:rsidRDefault="003D6162" w:rsidP="003D616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7463" wp14:editId="4716B276">
                <wp:simplePos x="0" y="0"/>
                <wp:positionH relativeFrom="column">
                  <wp:posOffset>-95250</wp:posOffset>
                </wp:positionH>
                <wp:positionV relativeFrom="paragraph">
                  <wp:posOffset>45402</wp:posOffset>
                </wp:positionV>
                <wp:extent cx="6438900" cy="5324475"/>
                <wp:effectExtent l="0" t="0" r="19050" b="28575"/>
                <wp:wrapNone/>
                <wp:docPr id="15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5324475"/>
                        </a:xfrm>
                        <a:custGeom>
                          <a:avLst/>
                          <a:gdLst>
                            <a:gd name="T0" fmla="*/ 0 w 6438900"/>
                            <a:gd name="T1" fmla="*/ 0 h 5092995"/>
                            <a:gd name="T2" fmla="*/ 6438900 w 6438900"/>
                            <a:gd name="T3" fmla="*/ 0 h 5092995"/>
                            <a:gd name="T4" fmla="*/ 6438900 w 6438900"/>
                            <a:gd name="T5" fmla="*/ 5092995 h 5092995"/>
                            <a:gd name="T6" fmla="*/ 0 w 6438900"/>
                            <a:gd name="T7" fmla="*/ 5092995 h 5092995"/>
                            <a:gd name="T8" fmla="*/ 0 w 6438900"/>
                            <a:gd name="T9" fmla="*/ 0 h 5092995"/>
                            <a:gd name="T10" fmla="*/ 121824 w 6438900"/>
                            <a:gd name="T11" fmla="*/ 121824 h 5092995"/>
                            <a:gd name="T12" fmla="*/ 121824 w 6438900"/>
                            <a:gd name="T13" fmla="*/ 4971171 h 5092995"/>
                            <a:gd name="T14" fmla="*/ 6317076 w 6438900"/>
                            <a:gd name="T15" fmla="*/ 4971171 h 5092995"/>
                            <a:gd name="T16" fmla="*/ 6317076 w 6438900"/>
                            <a:gd name="T17" fmla="*/ 121824 h 5092995"/>
                            <a:gd name="T18" fmla="*/ 121824 w 6438900"/>
                            <a:gd name="T19" fmla="*/ 121824 h 509299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438900" h="5092995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  <a:lnTo>
                                <a:pt x="6438900" y="5092995"/>
                              </a:lnTo>
                              <a:lnTo>
                                <a:pt x="0" y="509299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1824" y="121824"/>
                              </a:moveTo>
                              <a:lnTo>
                                <a:pt x="121824" y="4971171"/>
                              </a:lnTo>
                              <a:lnTo>
                                <a:pt x="6317076" y="4971171"/>
                              </a:lnTo>
                              <a:lnTo>
                                <a:pt x="6317076" y="121824"/>
                              </a:lnTo>
                              <a:lnTo>
                                <a:pt x="121824" y="121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4BA"/>
                        </a:solidFill>
                        <a:ln w="25400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7.5pt;margin-top:3.55pt;width:507pt;height:4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8900,509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3o7wMAAFoNAAAOAAAAZHJzL2Uyb0RvYy54bWysV12PozYUfa/U/2DxWKkD5nOIJrOane1U&#10;lbbtSpv+AAdMQAVMbSdk9tf32tiJmRGkrZoHsOPj43vvMdfXDx/OXYtOlIuG9VsP3wUeon3ByqY/&#10;bL0/di8/3ntISNKXpGU93XqvVHgfHr//7mEcNjRkNWtLyhGQ9GIzDluvlnLY+L4oatoRcccG2sNg&#10;xXhHJHT5wS85GYG9a/0wCFJ/ZLwcOCuoEPDvp2nQe9T8VUUL+XtVCSpRu/XANqmfXD/36uk/PpDN&#10;gZOhbgpjBvkPVnSk6WHRC9UnIgk68uYdVdcUnAlWybuCdT6rqqag2gfwBgdvvPlak4FqXyA4YriE&#10;Sfx/tMVvpy8cNSVol3ioJx1o9MLhhUIVm3EQG4B8Hb5w5Z0YPrPiTwED/mxEdQRg0H78lZVAQY6S&#10;6XicK96pmeApOuuwv17CTs8SFfBnGkf3eQDqFDCWRGEcZ4la3CcbO704CvkzZZqKnD4LOelWQktH&#10;vTSm74Cl6lqQ8AcfBWhEltvgLQzPYDVKgjzMc70qaHhhCx2YYVrmjBxwgBY5Ywd2kxM0ubhjbFxm&#10;Th3wiu+ZA7vJCZ/vxYAVznwGW/Qdu/LgEN+H8XI8sSuSAS8zu1LdZHalivMM4wwvhxXPFItwFmTp&#10;itWuZLe5Xc3Sm9yudDcj4kp3MyKugLeYQ1fFAKUB/FCaJFFq0un1+3ElXEe6+q0jXfHWka5w60hX&#10;tHWkK9g60hVrHekqtY50ZXqHhHx5sBmR1DZJFufeZEloIaLO5R0oqNLmwIRKyippQubdYZN0AadG&#10;HTiewUEqBY8W4eEMDioouE3p79mjGRwCrODZIns8g0PsFDxfhCczuMpACg/JZTph3puTzicYb/Gy&#10;u9l8gvEXztOlFe7nE4zHeNnlfD7B+IxnToP64IuRmkPh87bk4R6CkmevrALpiVQ7xDbR6BzDNZzC&#10;5jxU4x070R3TSPnmDIc1r6Nt76LswauircsswFqEfQ+az0XadafIWZx9T/hJwX+OfLt60TJBdRCu&#10;tk/MU+LTG8Q0JzuuuLklDt5keiO5hdm3cXTK75r/3+Jn9lha+1633qKs3yCEUl/XV5dtoHaPU2MJ&#10;1jblS9O2SnbBD/vnlqMTgSL66eNz/PHJ+DmDtb3aRWESQymnpy1yRM9RntgPcMbB2bEvtTY1JeVP&#10;pi1J005tvYlM9akKzqlC3bPyFYpPzqbyHq4j0KgZ/+ahEUr7rSf+OhJOPdT+0kPtnOM4hk0kdSdO&#10;MnWecXdk746QvgCqrVdI+ICmzrOcbhDHgTeHGtaa8mPPnqDsrRpVnOr6eLLLdKCA1yE3lw11Q3D7&#10;GnW9Ej3+DQAA//8DAFBLAwQUAAYACAAAACEACJu9ztwAAAAJAQAADwAAAGRycy9kb3ducmV2Lnht&#10;bEyPwW6DMBBE75X6D9ZW6i0xVCEFwhKhSvmAhkS9GmzACl4j7BD693VP7XE0o5k3xXE1I1vU7LQl&#10;hHgbAVPUWqmpR7jUp00KzHlBUoyWFMK3cnAsn58KkUv7oE+1nH3PQgm5XCAM3k85564dlBFuaydF&#10;wevsbIQPcu65nMUjlJuRv0XRnhuhKSwMYlIfg2pv57tBGJOm/qquXVdpW9U7Ol30kkaIry9rdQDm&#10;1er/wvCLH9ChDEyNvZN0bETYxEn44hHeY2DBz7Is6AYh3SV74GXB/z8ofwAAAP//AwBQSwECLQAU&#10;AAYACAAAACEAtoM4kv4AAADhAQAAEwAAAAAAAAAAAAAAAAAAAAAAW0NvbnRlbnRfVHlwZXNdLnht&#10;bFBLAQItABQABgAIAAAAIQA4/SH/1gAAAJQBAAALAAAAAAAAAAAAAAAAAC8BAABfcmVscy8ucmVs&#10;c1BLAQItABQABgAIAAAAIQBWiV3o7wMAAFoNAAAOAAAAAAAAAAAAAAAAAC4CAABkcnMvZTJvRG9j&#10;LnhtbFBLAQItABQABgAIAAAAIQAIm73O3AAAAAkBAAAPAAAAAAAAAAAAAAAAAEkGAABkcnMvZG93&#10;bnJldi54bWxQSwUGAAAAAAQABADzAAAAUgcAAAAA&#10;" path="m,l6438900,r,5092995l,5092995,,xm121824,121824r,4849347l6317076,4971171r,-4849347l121824,121824xe" fillcolor="#abc4ba" strokecolor="#3c3951" strokeweight="2pt">
                <v:path arrowok="t" o:connecttype="custom" o:connectlocs="0,0;6438900,0;6438900,5324475;0,5324475;0,0;121824,127361;121824,5197114;6317076,5197114;6317076,127361;121824,127361" o:connectangles="0,0,0,0,0,0,0,0,0,0"/>
              </v:shape>
            </w:pict>
          </mc:Fallback>
        </mc:AlternateContent>
      </w:r>
    </w:p>
    <w:p w:rsidR="003D6162" w:rsidRPr="00DB75ED" w:rsidRDefault="003D6162" w:rsidP="003D6162">
      <w:pPr>
        <w:rPr>
          <w:rFonts w:cs="Times New Roman"/>
        </w:rPr>
      </w:pPr>
    </w:p>
    <w:p w:rsidR="003D6162" w:rsidRPr="00DB75ED" w:rsidRDefault="003D6162" w:rsidP="003D6162">
      <w:pPr>
        <w:jc w:val="center"/>
        <w:rPr>
          <w:rFonts w:cs="Times New Roman"/>
          <w:sz w:val="36"/>
          <w:szCs w:val="36"/>
        </w:rPr>
      </w:pPr>
      <w:r w:rsidRPr="00DB75ED">
        <w:rPr>
          <w:rFonts w:cs="Times New Roman"/>
          <w:sz w:val="36"/>
          <w:szCs w:val="36"/>
        </w:rPr>
        <w:t xml:space="preserve">Notifying the Public of Rights </w:t>
      </w:r>
      <w:proofErr w:type="gramStart"/>
      <w:r w:rsidRPr="00DB75ED">
        <w:rPr>
          <w:rFonts w:cs="Times New Roman"/>
          <w:sz w:val="36"/>
          <w:szCs w:val="36"/>
        </w:rPr>
        <w:t>Under</w:t>
      </w:r>
      <w:proofErr w:type="gramEnd"/>
      <w:r w:rsidRPr="00DB75ED">
        <w:rPr>
          <w:rFonts w:cs="Times New Roman"/>
          <w:sz w:val="36"/>
          <w:szCs w:val="36"/>
        </w:rPr>
        <w:t xml:space="preserve"> Title VI</w:t>
      </w:r>
    </w:p>
    <w:p w:rsidR="003D6162" w:rsidRPr="00FD2F8B" w:rsidRDefault="003D6162" w:rsidP="003D6162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Chandler Gilbert Arc</w:t>
      </w:r>
    </w:p>
    <w:p w:rsidR="003D6162" w:rsidRPr="00DB75ED" w:rsidRDefault="003D6162" w:rsidP="003D6162">
      <w:pPr>
        <w:jc w:val="center"/>
        <w:rPr>
          <w:rFonts w:cs="Times New Roman"/>
          <w:b/>
          <w:sz w:val="36"/>
          <w:szCs w:val="36"/>
        </w:rPr>
      </w:pPr>
    </w:p>
    <w:p w:rsidR="003D6162" w:rsidRPr="00DB75ED" w:rsidRDefault="003D6162" w:rsidP="003D6162">
      <w:pPr>
        <w:pStyle w:val="ListParagraph"/>
        <w:spacing w:line="276" w:lineRule="auto"/>
        <w:ind w:firstLine="0"/>
        <w:jc w:val="both"/>
        <w:rPr>
          <w:rFonts w:cs="Times New Roman"/>
        </w:rPr>
      </w:pPr>
      <w:r w:rsidRPr="00DB75ED">
        <w:rPr>
          <w:rFonts w:cs="Times New Roman"/>
        </w:rPr>
        <w:t xml:space="preserve">The </w:t>
      </w:r>
      <w:r>
        <w:rPr>
          <w:rFonts w:cs="Times New Roman"/>
        </w:rPr>
        <w:t>Chandler Gilbert Arc</w:t>
      </w:r>
      <w:r w:rsidRPr="00DB75ED">
        <w:rPr>
          <w:rFonts w:cs="Times New Roman"/>
        </w:rPr>
        <w:t xml:space="preserve"> operates its programs and services wit</w:t>
      </w:r>
      <w:r>
        <w:rPr>
          <w:rFonts w:cs="Times New Roman"/>
        </w:rPr>
        <w:t xml:space="preserve">hout regard to race, color, or </w:t>
      </w:r>
      <w:r w:rsidRPr="00DB75ED">
        <w:rPr>
          <w:rFonts w:cs="Times New Roman"/>
        </w:rPr>
        <w:t>national origin in accordance with Title VI of the Civil Rights Act</w:t>
      </w:r>
      <w:r>
        <w:rPr>
          <w:rFonts w:cs="Times New Roman"/>
        </w:rPr>
        <w:t xml:space="preserve"> of 1964</w:t>
      </w:r>
      <w:r w:rsidRPr="00DB75ED">
        <w:rPr>
          <w:rFonts w:cs="Times New Roman"/>
        </w:rPr>
        <w:t xml:space="preserve">. Any person who believes she or he has been aggrieved by any unlawful discriminatory practice under Title VI may file a complaint with the </w:t>
      </w:r>
      <w:r>
        <w:rPr>
          <w:rFonts w:cs="Times New Roman"/>
        </w:rPr>
        <w:t>Chandler Gilbert Arc</w:t>
      </w:r>
      <w:r w:rsidRPr="00DB75ED">
        <w:rPr>
          <w:rFonts w:cs="Times New Roman"/>
        </w:rPr>
        <w:t>.</w:t>
      </w:r>
    </w:p>
    <w:p w:rsidR="003D6162" w:rsidRPr="00FD777F" w:rsidRDefault="003D6162" w:rsidP="003D6162">
      <w:pPr>
        <w:pStyle w:val="ListParagraph"/>
        <w:spacing w:line="276" w:lineRule="auto"/>
        <w:ind w:firstLine="0"/>
        <w:jc w:val="both"/>
        <w:rPr>
          <w:rFonts w:cs="Times New Roman"/>
          <w:sz w:val="12"/>
        </w:rPr>
      </w:pPr>
    </w:p>
    <w:p w:rsidR="003D6162" w:rsidRDefault="003D6162" w:rsidP="003D6162">
      <w:pPr>
        <w:pStyle w:val="ListParagraph"/>
        <w:spacing w:line="276" w:lineRule="auto"/>
        <w:ind w:firstLine="0"/>
        <w:jc w:val="both"/>
        <w:rPr>
          <w:rFonts w:cs="Times New Roman"/>
        </w:rPr>
      </w:pPr>
      <w:r w:rsidRPr="00DB75ED">
        <w:rPr>
          <w:rFonts w:cs="Times New Roman"/>
        </w:rPr>
        <w:t xml:space="preserve">For more information on the </w:t>
      </w:r>
      <w:r>
        <w:rPr>
          <w:rFonts w:cs="Times New Roman"/>
        </w:rPr>
        <w:t>Chandler Gilbert Arc</w:t>
      </w:r>
      <w:r w:rsidRPr="00DB75ED">
        <w:rPr>
          <w:rFonts w:cs="Times New Roman"/>
        </w:rPr>
        <w:t>’s civil rights program, and the procedures to file a complaint, contact</w:t>
      </w:r>
      <w:r>
        <w:rPr>
          <w:rFonts w:cs="Times New Roman"/>
        </w:rPr>
        <w:t xml:space="preserve"> Ezra Sherman </w:t>
      </w:r>
      <w:r>
        <w:t xml:space="preserve">at (480) 892-9422 ext. 117; email </w:t>
      </w:r>
      <w:hyperlink r:id="rId5" w:history="1">
        <w:r w:rsidRPr="00B00840">
          <w:rPr>
            <w:rStyle w:val="Hyperlink"/>
          </w:rPr>
          <w:t>ESherman@cgarc.org</w:t>
        </w:r>
      </w:hyperlink>
      <w:r>
        <w:t>;</w:t>
      </w:r>
      <w:r>
        <w:rPr>
          <w:rFonts w:cs="Times New Roman"/>
        </w:rPr>
        <w:t xml:space="preserve"> </w:t>
      </w:r>
      <w:r>
        <w:t xml:space="preserve">or visit our administrative office at 3250 N. San Marcos Pl., Chandler, AZ 85225. For more information, visit </w:t>
      </w:r>
      <w:hyperlink r:id="rId6" w:history="1">
        <w:r w:rsidRPr="00B00840">
          <w:rPr>
            <w:rStyle w:val="Hyperlink"/>
          </w:rPr>
          <w:t>www.cgarc.org</w:t>
        </w:r>
      </w:hyperlink>
      <w:r>
        <w:t xml:space="preserve">.  </w:t>
      </w:r>
      <w:r w:rsidRPr="00DB75ED">
        <w:rPr>
          <w:rFonts w:cs="Times New Roman"/>
        </w:rPr>
        <w:t>For more information, visit</w:t>
      </w:r>
      <w:r>
        <w:rPr>
          <w:rFonts w:cs="Times New Roman"/>
        </w:rPr>
        <w:t xml:space="preserve"> www.cgarc.org</w:t>
      </w:r>
      <w:r w:rsidRPr="00DB75ED">
        <w:rPr>
          <w:rFonts w:cs="Times New Roman"/>
        </w:rPr>
        <w:t xml:space="preserve"> </w:t>
      </w:r>
    </w:p>
    <w:p w:rsidR="003D6162" w:rsidRDefault="003D6162" w:rsidP="003D6162">
      <w:pPr>
        <w:pStyle w:val="ListParagraph"/>
        <w:spacing w:line="276" w:lineRule="auto"/>
        <w:ind w:firstLine="0"/>
        <w:jc w:val="both"/>
        <w:rPr>
          <w:rFonts w:cs="Times New Roman"/>
        </w:rPr>
      </w:pPr>
    </w:p>
    <w:p w:rsidR="003D6162" w:rsidRPr="00390028" w:rsidRDefault="003D6162" w:rsidP="003D6162">
      <w:pPr>
        <w:pStyle w:val="ListParagraph"/>
        <w:spacing w:line="276" w:lineRule="auto"/>
        <w:ind w:firstLine="0"/>
        <w:jc w:val="both"/>
        <w:rPr>
          <w:rFonts w:cs="Times New Roman"/>
        </w:rPr>
      </w:pPr>
      <w:r w:rsidRPr="00390028">
        <w:rPr>
          <w:rFonts w:cs="Times New Roman"/>
        </w:rPr>
        <w:t xml:space="preserve">A complainant may file a complaint directly with the </w:t>
      </w:r>
      <w:r>
        <w:rPr>
          <w:rFonts w:cs="Times New Roman"/>
        </w:rPr>
        <w:t>City of Phoenix Public Transit Department</w:t>
      </w:r>
      <w:r w:rsidRPr="00390028">
        <w:rPr>
          <w:rFonts w:cs="Times New Roman"/>
        </w:rPr>
        <w:t xml:space="preserve"> or the Federal Transit Administration</w:t>
      </w:r>
      <w:r>
        <w:rPr>
          <w:rFonts w:cs="Times New Roman"/>
        </w:rPr>
        <w:t xml:space="preserve"> (FTA)</w:t>
      </w:r>
      <w:r w:rsidRPr="00390028">
        <w:rPr>
          <w:rFonts w:cs="Times New Roman"/>
        </w:rPr>
        <w:t xml:space="preserve"> by filing a complaint directly with the corresponding office</w:t>
      </w:r>
      <w:r>
        <w:rPr>
          <w:rFonts w:cs="Times New Roman"/>
        </w:rPr>
        <w:t>s</w:t>
      </w:r>
      <w:r w:rsidRPr="00390028">
        <w:rPr>
          <w:rFonts w:cs="Times New Roman"/>
        </w:rPr>
        <w:t xml:space="preserve"> of Civil Rights:  </w:t>
      </w:r>
      <w:r>
        <w:rPr>
          <w:rFonts w:cs="Times New Roman"/>
          <w:b/>
          <w:bCs/>
          <w:u w:val="single"/>
        </w:rPr>
        <w:t>City of Phoenix Public Transit Department</w:t>
      </w:r>
      <w:r w:rsidRPr="00390028">
        <w:rPr>
          <w:rFonts w:cs="Times New Roman"/>
        </w:rPr>
        <w:t>: ATTN</w:t>
      </w:r>
      <w:r>
        <w:rPr>
          <w:rFonts w:cs="Times New Roman"/>
        </w:rPr>
        <w:t>:</w:t>
      </w:r>
      <w:r w:rsidRPr="00390028">
        <w:rPr>
          <w:rFonts w:cs="Times New Roman"/>
        </w:rPr>
        <w:t xml:space="preserve"> Title VI </w:t>
      </w:r>
      <w:r>
        <w:rPr>
          <w:rFonts w:cs="Times New Roman"/>
        </w:rPr>
        <w:t>Coordinator,</w:t>
      </w:r>
      <w:r w:rsidRPr="00390028">
        <w:rPr>
          <w:rFonts w:cs="Times New Roman"/>
        </w:rPr>
        <w:t xml:space="preserve"> </w:t>
      </w:r>
      <w:r>
        <w:rPr>
          <w:rFonts w:cs="Times New Roman"/>
        </w:rPr>
        <w:t>302 N. 1</w:t>
      </w:r>
      <w:r w:rsidRPr="00F416CA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Ave., Suite 900, Phoenix AZ 85003</w:t>
      </w:r>
      <w:r w:rsidRPr="00390028">
        <w:rPr>
          <w:rFonts w:cs="Times New Roman"/>
        </w:rPr>
        <w:t xml:space="preserve"> </w:t>
      </w:r>
      <w:r w:rsidRPr="00997CC5">
        <w:rPr>
          <w:rFonts w:cs="Times New Roman"/>
          <w:b/>
          <w:u w:val="single"/>
        </w:rPr>
        <w:t>FTA</w:t>
      </w:r>
      <w:r>
        <w:rPr>
          <w:rFonts w:cs="Times New Roman"/>
        </w:rPr>
        <w:t>: ATTN:</w:t>
      </w:r>
      <w:r w:rsidRPr="00390028">
        <w:rPr>
          <w:rFonts w:cs="Times New Roman"/>
        </w:rPr>
        <w:t xml:space="preserve"> Title VI Program Coordinator, East Building, 5</w:t>
      </w:r>
      <w:r w:rsidRPr="00390028">
        <w:rPr>
          <w:rFonts w:cs="Times New Roman"/>
          <w:vertAlign w:val="superscript"/>
        </w:rPr>
        <w:t>th</w:t>
      </w:r>
      <w:r w:rsidRPr="00390028">
        <w:rPr>
          <w:rFonts w:cs="Times New Roman"/>
        </w:rPr>
        <w:t xml:space="preserve"> Floor-TCR 1200 New Jersey Ave., SE Washington DC 20590 </w:t>
      </w:r>
    </w:p>
    <w:p w:rsidR="003D6162" w:rsidRPr="00FD777F" w:rsidRDefault="003D6162" w:rsidP="003D6162">
      <w:pPr>
        <w:pStyle w:val="ListParagraph"/>
        <w:spacing w:line="276" w:lineRule="auto"/>
        <w:ind w:firstLine="0"/>
        <w:jc w:val="both"/>
        <w:rPr>
          <w:rFonts w:cs="Times New Roman"/>
          <w:sz w:val="6"/>
        </w:rPr>
      </w:pPr>
    </w:p>
    <w:p w:rsidR="003D6162" w:rsidRPr="00DB75ED" w:rsidRDefault="003D6162" w:rsidP="003D6162">
      <w:pPr>
        <w:pStyle w:val="ListParagraph"/>
        <w:spacing w:line="276" w:lineRule="auto"/>
        <w:ind w:firstLine="0"/>
        <w:jc w:val="both"/>
        <w:rPr>
          <w:rFonts w:cs="Times New Roman"/>
        </w:rPr>
      </w:pPr>
      <w:r>
        <w:t xml:space="preserve">If information is needed in another language, contact our Administration Office at (480) 892- 9422. Para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llame</w:t>
      </w:r>
      <w:proofErr w:type="spellEnd"/>
      <w:r>
        <w:t>: (480) 892-9422.</w:t>
      </w:r>
      <w:r w:rsidRPr="00DB75ED">
        <w:rPr>
          <w:rFonts w:cs="Times New Roman"/>
        </w:rPr>
        <w:t xml:space="preserve"> </w:t>
      </w:r>
    </w:p>
    <w:p w:rsidR="003D6162" w:rsidRPr="00DB75ED" w:rsidRDefault="003D6162" w:rsidP="003D6162">
      <w:pPr>
        <w:pStyle w:val="ListParagraph"/>
        <w:spacing w:line="276" w:lineRule="auto"/>
        <w:ind w:firstLine="0"/>
        <w:jc w:val="center"/>
        <w:rPr>
          <w:rFonts w:cs="Times New Roman"/>
          <w:i/>
          <w:sz w:val="20"/>
        </w:rPr>
      </w:pPr>
    </w:p>
    <w:p w:rsidR="003D6162" w:rsidRDefault="003D6162" w:rsidP="003D6162">
      <w:pPr>
        <w:pStyle w:val="ListParagraph"/>
        <w:spacing w:line="276" w:lineRule="auto"/>
        <w:ind w:firstLine="0"/>
        <w:jc w:val="center"/>
        <w:rPr>
          <w:rFonts w:cs="Times New Roman"/>
          <w:i/>
          <w:sz w:val="20"/>
          <w:highlight w:val="yellow"/>
        </w:rPr>
      </w:pPr>
    </w:p>
    <w:p w:rsidR="003D6162" w:rsidRPr="00B851CF" w:rsidRDefault="003D6162" w:rsidP="003D6162">
      <w:pPr>
        <w:pStyle w:val="ListParagraph"/>
        <w:spacing w:line="276" w:lineRule="auto"/>
        <w:ind w:firstLine="0"/>
        <w:jc w:val="center"/>
        <w:rPr>
          <w:rFonts w:cs="Times New Roman"/>
          <w:i/>
          <w:color w:val="FFFFFF" w:themeColor="background1"/>
          <w:sz w:val="20"/>
        </w:rPr>
      </w:pPr>
      <w:r w:rsidRPr="00B851CF">
        <w:rPr>
          <w:rFonts w:cs="Times New Roman"/>
          <w:i/>
          <w:color w:val="FFFFFF" w:themeColor="background1"/>
          <w:sz w:val="20"/>
        </w:rPr>
        <w:t>MAKE SURE THE SENTENCE ABE IS ALSO PROVIDED IN ANY LANGUAGE(S) SPOKEN BY LEP POPULATIONS THAT MEET THE SAFE HARBOR THRESHOLD</w:t>
      </w:r>
    </w:p>
    <w:p w:rsidR="003D6162" w:rsidRPr="00DB75ED" w:rsidRDefault="003D6162" w:rsidP="003D6162">
      <w:pPr>
        <w:pStyle w:val="ListParagraph"/>
        <w:spacing w:line="276" w:lineRule="auto"/>
        <w:ind w:firstLine="0"/>
        <w:jc w:val="center"/>
        <w:rPr>
          <w:rFonts w:cs="Times New Roman"/>
          <w:i/>
          <w:sz w:val="20"/>
        </w:rPr>
      </w:pPr>
    </w:p>
    <w:p w:rsidR="003D6162" w:rsidRPr="00DB75ED" w:rsidRDefault="003D6162" w:rsidP="003D6162">
      <w:pPr>
        <w:rPr>
          <w:rFonts w:cs="Times New Roman"/>
        </w:rPr>
      </w:pPr>
    </w:p>
    <w:p w:rsidR="003D6162" w:rsidRPr="00DB75ED" w:rsidRDefault="003D6162" w:rsidP="003D6162">
      <w:pPr>
        <w:pStyle w:val="ListParagraph"/>
        <w:spacing w:line="276" w:lineRule="auto"/>
        <w:ind w:firstLine="0"/>
        <w:jc w:val="center"/>
        <w:rPr>
          <w:rFonts w:cs="Times New Roman"/>
          <w:i/>
          <w:sz w:val="24"/>
        </w:rPr>
      </w:pPr>
    </w:p>
    <w:p w:rsidR="003D6162" w:rsidRDefault="003D6162" w:rsidP="003D6162">
      <w:pPr>
        <w:spacing w:line="276" w:lineRule="auto"/>
        <w:ind w:firstLine="0"/>
        <w:rPr>
          <w:rFonts w:cs="Times New Roman"/>
          <w:i/>
          <w:sz w:val="24"/>
        </w:rPr>
      </w:pPr>
    </w:p>
    <w:p w:rsidR="003D6162" w:rsidRDefault="003D6162" w:rsidP="003D6162">
      <w:pPr>
        <w:spacing w:line="276" w:lineRule="auto"/>
        <w:ind w:firstLine="0"/>
        <w:rPr>
          <w:rFonts w:cs="Times New Roman"/>
          <w:i/>
          <w:sz w:val="24"/>
        </w:rPr>
      </w:pPr>
    </w:p>
    <w:p w:rsidR="00CB21EE" w:rsidRDefault="00CB21EE">
      <w:bookmarkStart w:id="1" w:name="_GoBack"/>
      <w:bookmarkEnd w:id="1"/>
    </w:p>
    <w:sectPr w:rsidR="00CB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62"/>
    <w:rsid w:val="003D6162"/>
    <w:rsid w:val="00C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62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16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6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61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62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16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6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61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arc.org" TargetMode="External"/><Relationship Id="rId5" Type="http://schemas.openxmlformats.org/officeDocument/2006/relationships/hyperlink" Target="mailto:ESherman@cg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Parker</dc:creator>
  <cp:lastModifiedBy>Billy Parker</cp:lastModifiedBy>
  <cp:revision>1</cp:revision>
  <dcterms:created xsi:type="dcterms:W3CDTF">2019-07-03T19:31:00Z</dcterms:created>
  <dcterms:modified xsi:type="dcterms:W3CDTF">2019-07-03T19:34:00Z</dcterms:modified>
</cp:coreProperties>
</file>